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ind w:firstLine="700" w:firstLineChars="2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  <w:lang w:val="en-US" w:eastAsia="zh-CN"/>
        </w:rPr>
        <w:t xml:space="preserve">        培育项目、青年项目</w:t>
      </w:r>
      <w:bookmarkStart w:id="0" w:name="_GoBack"/>
      <w:bookmarkEnd w:id="0"/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</w:rPr>
        <w:t>结题要求</w:t>
      </w:r>
    </w:p>
    <w:p>
      <w:pPr>
        <w:widowControl/>
        <w:shd w:val="clear" w:color="auto" w:fill="FFFFFF"/>
        <w:spacing w:line="375" w:lineRule="atLeast"/>
        <w:ind w:firstLine="700" w:firstLineChars="20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</w:rPr>
        <w:t>1、培育基金项目须符合下列三种情形之一即准予结项：</w:t>
      </w:r>
    </w:p>
    <w:p>
      <w:pPr>
        <w:widowControl/>
        <w:shd w:val="clear" w:color="auto" w:fill="FFFFFF"/>
        <w:spacing w:line="375" w:lineRule="atLeast"/>
        <w:ind w:firstLine="525" w:firstLineChars="15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</w:rPr>
        <w:t>（1）在项目执行期内，如已申请到与培育项目相关的市厅级及以上级别项目，本项目即可结项。</w:t>
      </w:r>
    </w:p>
    <w:p>
      <w:pPr>
        <w:widowControl/>
        <w:shd w:val="clear" w:color="auto" w:fill="FFFFFF"/>
        <w:spacing w:line="375" w:lineRule="atLeast"/>
        <w:ind w:firstLine="563" w:firstLineChars="161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</w:rPr>
        <w:t>（2）在项目执行期内，如获到帐经费理工科10万元（人文社科5万元）人民币以上横向合作项目，本项目即可结项。</w:t>
      </w:r>
    </w:p>
    <w:p>
      <w:pPr>
        <w:widowControl/>
        <w:shd w:val="clear" w:color="auto" w:fill="FFFFFF"/>
        <w:spacing w:line="375" w:lineRule="atLeast"/>
        <w:ind w:firstLine="563" w:firstLineChars="161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</w:rPr>
        <w:t>（3）在项目执行期内，如未获得上述项目者，则需发表与该项目相关专著或标志性论文（标志性论文包括： SCI、EI、ISTP、SSCI、A&amp;HCI、ISSHP、一级期刊论文、新华文摘、中国社会科学文摘、人大全文复印）2篇以上为结题目标要求。或达到上述当量的科研成果。</w:t>
      </w:r>
    </w:p>
    <w:p>
      <w:pPr>
        <w:widowControl/>
        <w:shd w:val="clear" w:color="auto" w:fill="FFFFFF"/>
        <w:spacing w:line="375" w:lineRule="atLeast"/>
        <w:ind w:firstLine="693" w:firstLineChars="198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</w:rPr>
        <w:t>2、青年基金项目须符合下列三种情形之一即准予结项：</w:t>
      </w:r>
    </w:p>
    <w:p>
      <w:pPr>
        <w:widowControl/>
        <w:shd w:val="clear" w:color="auto" w:fill="FFFFFF"/>
        <w:spacing w:line="375" w:lineRule="atLeast"/>
        <w:ind w:firstLine="563" w:firstLineChars="161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</w:rPr>
        <w:t>（1）在项目执行期内，如已申请到与培育项目相关的市厅级及以上级别项目，本项目即可结项。</w:t>
      </w:r>
    </w:p>
    <w:p>
      <w:pPr>
        <w:widowControl/>
        <w:shd w:val="clear" w:color="auto" w:fill="FFFFFF"/>
        <w:spacing w:line="375" w:lineRule="atLeast"/>
        <w:ind w:firstLine="563" w:firstLineChars="161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</w:rPr>
        <w:t>（2）在项目执行期内，如获到帐经费理工科5万元（人文社科2.5万元）人民币以上横向合作项目，本项目即可结项。</w:t>
      </w:r>
    </w:p>
    <w:p>
      <w:pPr>
        <w:widowControl/>
        <w:shd w:val="clear" w:color="auto" w:fill="FFFFFF"/>
        <w:spacing w:line="375" w:lineRule="atLeast"/>
        <w:ind w:firstLine="563" w:firstLineChars="161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636363"/>
          <w:spacing w:val="15"/>
          <w:kern w:val="0"/>
          <w:sz w:val="32"/>
          <w:szCs w:val="32"/>
        </w:rPr>
        <w:t>（3）在项目执行期内，如未获得上述项目者，在核心期刊上发表与该项目相关论文2篇以上为结题目标要求。或达到上述当量的科研成果。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32A75"/>
    <w:rsid w:val="04B40AD3"/>
    <w:rsid w:val="557B2E19"/>
    <w:rsid w:val="7C932A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2017-05-24T06:44:00Z</dcterms:created>
  <dc:creator>李丹</dc:creator>
  <cp:lastModifiedBy>李丹</cp:lastModifiedBy>
  <dcterms:modified xsi:type="dcterms:W3CDTF">2017-05-25T00:55:08Z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